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广东省电子信息联合会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年会员大会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暨第二届理事会第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六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次</w:t>
      </w:r>
      <w:r>
        <w:rPr>
          <w:rFonts w:hint="eastAsia" w:ascii="方正小标宋简体" w:eastAsia="方正小标宋简体"/>
          <w:sz w:val="32"/>
          <w:szCs w:val="32"/>
        </w:rPr>
        <w:t>会议议程</w:t>
      </w:r>
      <w:bookmarkEnd w:id="0"/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时  间：</w:t>
      </w:r>
      <w:r>
        <w:rPr>
          <w:rFonts w:eastAsia="仿宋_GB2312"/>
          <w:sz w:val="30"/>
          <w:szCs w:val="30"/>
          <w:highlight w:val="none"/>
        </w:rPr>
        <w:t>20</w:t>
      </w:r>
      <w:r>
        <w:rPr>
          <w:rFonts w:hint="eastAsia" w:eastAsia="仿宋_GB2312"/>
          <w:sz w:val="30"/>
          <w:szCs w:val="30"/>
          <w:highlight w:val="none"/>
        </w:rPr>
        <w:t>2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sz w:val="30"/>
          <w:szCs w:val="30"/>
          <w:highlight w:val="none"/>
        </w:rPr>
        <w:t>年</w:t>
      </w:r>
      <w:r>
        <w:rPr>
          <w:rFonts w:hint="eastAsia" w:eastAsia="仿宋_GB2312"/>
          <w:sz w:val="30"/>
          <w:szCs w:val="30"/>
          <w:highlight w:val="none"/>
        </w:rPr>
        <w:t>1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sz w:val="30"/>
          <w:szCs w:val="30"/>
          <w:highlight w:val="none"/>
        </w:rPr>
        <w:t>月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15</w:t>
      </w:r>
      <w:r>
        <w:rPr>
          <w:rFonts w:eastAsia="仿宋_GB2312"/>
          <w:sz w:val="30"/>
          <w:szCs w:val="30"/>
          <w:highlight w:val="none"/>
        </w:rPr>
        <w:t>日</w:t>
      </w:r>
      <w:r>
        <w:rPr>
          <w:rFonts w:eastAsia="仿宋_GB2312"/>
          <w:sz w:val="30"/>
          <w:szCs w:val="30"/>
        </w:rPr>
        <w:t>（星期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eastAsia="仿宋_GB2312"/>
          <w:sz w:val="30"/>
          <w:szCs w:val="30"/>
        </w:rPr>
        <w:t>）</w:t>
      </w:r>
      <w:r>
        <w:rPr>
          <w:rFonts w:hint="eastAsia" w:eastAsia="仿宋_GB2312"/>
          <w:color w:val="auto"/>
          <w:sz w:val="30"/>
          <w:szCs w:val="30"/>
          <w:highlight w:val="none"/>
        </w:rPr>
        <w:t>1</w:t>
      </w:r>
      <w:r>
        <w:rPr>
          <w:rFonts w:hint="eastAsia" w:eastAsia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eastAsia="仿宋_GB2312"/>
          <w:color w:val="auto"/>
          <w:sz w:val="30"/>
          <w:szCs w:val="30"/>
          <w:highlight w:val="none"/>
        </w:rPr>
        <w:t>:</w:t>
      </w:r>
      <w:r>
        <w:rPr>
          <w:rFonts w:hint="eastAsia" w:eastAsia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eastAsia="仿宋_GB2312"/>
          <w:color w:val="auto"/>
          <w:sz w:val="30"/>
          <w:szCs w:val="30"/>
          <w:highlight w:val="none"/>
        </w:rPr>
        <w:t>0-1</w:t>
      </w:r>
      <w:r>
        <w:rPr>
          <w:rFonts w:hint="eastAsia" w:eastAsia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color w:val="auto"/>
          <w:sz w:val="30"/>
          <w:szCs w:val="30"/>
          <w:highlight w:val="none"/>
        </w:rPr>
        <w:t>:</w:t>
      </w:r>
      <w:r>
        <w:rPr>
          <w:rFonts w:hint="eastAsia" w:eastAsia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eastAsia="仿宋_GB2312"/>
          <w:color w:val="auto"/>
          <w:sz w:val="30"/>
          <w:szCs w:val="30"/>
          <w:highlight w:val="none"/>
        </w:rPr>
        <w:t>0</w:t>
      </w:r>
    </w:p>
    <w:p>
      <w:pPr>
        <w:widowControl/>
        <w:spacing w:line="360" w:lineRule="auto"/>
        <w:rPr>
          <w:rFonts w:hint="eastAsia" w:eastAsia="仿宋_GB2312"/>
          <w:color w:val="000000"/>
          <w:sz w:val="30"/>
          <w:szCs w:val="30"/>
          <w:highlight w:val="yellow"/>
          <w:shd w:val="clear" w:color="auto" w:fill="FFFFFF"/>
          <w:lang w:eastAsia="zh-CN"/>
        </w:rPr>
      </w:pPr>
      <w:r>
        <w:rPr>
          <w:rFonts w:hint="eastAsia" w:ascii="楷体_GB2312" w:eastAsia="楷体_GB2312"/>
          <w:b/>
          <w:sz w:val="30"/>
          <w:szCs w:val="30"/>
        </w:rPr>
        <w:t>地  点：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  <w:lang w:val="en-US" w:eastAsia="zh-CN"/>
        </w:rPr>
        <w:t>中创汇赛宝科技园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  <w:lang w:val="en-US" w:eastAsia="zh-CN"/>
        </w:rPr>
        <w:t>广州市天河区东莞庄路110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</w:rPr>
        <w:t>号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4"/>
        <w:tblW w:w="9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13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会议内容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签到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会长致欢迎词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审议联合会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2021-2022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年工作报告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和财务报告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审议联合会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2021-2022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年监事会工作报告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审议变更监事长人选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审议增补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副会长及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理事单位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举手表决上述决议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全体代表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信创产业链协同与风险防范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刘伟明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政府研发项目政策解读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高智伟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GU2MjQ1N2M5NjBmMmNiNzRjOTMzOTZhN2I1NzUifQ=="/>
  </w:docVars>
  <w:rsids>
    <w:rsidRoot w:val="11B34FD2"/>
    <w:rsid w:val="11B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339</Characters>
  <Lines>0</Lines>
  <Paragraphs>0</Paragraphs>
  <TotalTime>2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2022-12-07T02:12:00Z</dcterms:created>
  <dc:creator>张宝林</dc:creator>
  <cp:lastModifiedBy>张宝林</cp:lastModifiedBy>
  <dcterms:modified xsi:type="dcterms:W3CDTF">2022-12-07T02:59:58Z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9D5379959CE64BEC9861A84D08C3F95C</vt:lpwstr>
  </property>
</Properties>
</file>